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7B177" w14:textId="018BBA2A" w:rsidR="00AD6AD3" w:rsidRPr="00AD6AD3" w:rsidRDefault="00AD6AD3" w:rsidP="00AD6AD3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               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Жүйке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жүйесінің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құрам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бөліктері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және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қызметі</w:t>
      </w:r>
      <w:proofErr w:type="spellEnd"/>
    </w:p>
    <w:p w14:paraId="563FE537" w14:textId="77777777" w:rsidR="00AD6AD3" w:rsidRPr="00AD6AD3" w:rsidRDefault="00AD6AD3" w:rsidP="00AD6AD3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Жүйке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жүйесі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–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ағзаның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ішкі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және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сыртқы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ортадан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ақпарат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қабылдап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оған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жауап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қайтаратын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негізгі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жүйесі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. Ол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жүйке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жасушаларынан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(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нейрондардан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)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тұрады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және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ағзаның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барлық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жүйелерімен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тығыз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байланыста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жұмыс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істейді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.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Жүйке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жүйесі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адам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организмінің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барлық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физиологиялық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процестерін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реттеуге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қатысады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оның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ішінде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қозғалыс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ойлау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эмоциялар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мен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ішкі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ағзалардың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жұмысын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қадағалайды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.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Сондай-ақ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ол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ағзаның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қоршаған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ортаға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бейімделуін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қамтамасыз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етеді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.</w:t>
      </w:r>
    </w:p>
    <w:p w14:paraId="6C4957A7" w14:textId="77777777" w:rsidR="00AD6AD3" w:rsidRPr="00AD6AD3" w:rsidRDefault="00AD6AD3" w:rsidP="00AD6AD3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Жүйке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жүйесінің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құрам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бөліктері</w:t>
      </w:r>
      <w:proofErr w:type="spellEnd"/>
    </w:p>
    <w:p w14:paraId="54B4985A" w14:textId="77777777" w:rsidR="00AD6AD3" w:rsidRPr="00AD6AD3" w:rsidRDefault="00AD6AD3" w:rsidP="00AD6AD3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Жүйке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жүйесі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орталық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және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шеткі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жүйке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жүйесі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болып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екіге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бөлінеді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</w:p>
    <w:p w14:paraId="2F45AA1C" w14:textId="77777777" w:rsidR="00AD6AD3" w:rsidRPr="00AD6AD3" w:rsidRDefault="00AD6AD3" w:rsidP="00AD6AD3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Орталық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жүйке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жүйесі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(ОЖЖ) – ми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және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жұлыннан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тұрады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. Ол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ағзаның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барлық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әрекеттерін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басқарып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реттейді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. Ми –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жүйке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жүйесінің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басты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орталығы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ол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ойлау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есте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сақтау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эмоция,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қозғалысты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бақылау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қызметтерін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атқарады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.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Жұлын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–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ағзаның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көптеген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рефлекторлық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реакцияларын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басқаратын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негізгі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орталықтардың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бірі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. Ми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құрылымы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үлкен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ми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сыңарлары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мишық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ортаңғы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ми,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көпір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және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сопақша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мидан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тұрады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.</w:t>
      </w:r>
    </w:p>
    <w:p w14:paraId="1E9BBFDA" w14:textId="77777777" w:rsidR="00AD6AD3" w:rsidRPr="00AD6AD3" w:rsidRDefault="00AD6AD3" w:rsidP="00AD6AD3">
      <w:pPr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Шеткі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жүйке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жүйесі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(ШЖЖ) –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орталық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жүйке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жүйесінен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тарайтын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жүйке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талшықтары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мен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түйіндерден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құралады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.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Бұл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жүйке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жүйесі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сезім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мүшелері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мен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ішкі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ағзалардан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келген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ақпаратты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орталық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жүйке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жүйесіне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жеткізіп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жауап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реакцияларын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жүзеге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асырады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. Ол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соматикалық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және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вегетативтік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жүйке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жүйесі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болып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бөлінеді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</w:p>
    <w:p w14:paraId="581BD334" w14:textId="77777777" w:rsidR="00AD6AD3" w:rsidRPr="00AD6AD3" w:rsidRDefault="00AD6AD3" w:rsidP="00AD6AD3">
      <w:pPr>
        <w:numPr>
          <w:ilvl w:val="1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Соматикалық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жүйке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жүйесі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–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қозғалысты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және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сыртқы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ортадан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қабылданатын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сезімдерді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бақылайды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.</w:t>
      </w:r>
    </w:p>
    <w:p w14:paraId="3E8256E5" w14:textId="77777777" w:rsidR="00AD6AD3" w:rsidRPr="00AD6AD3" w:rsidRDefault="00AD6AD3" w:rsidP="00AD6AD3">
      <w:pPr>
        <w:numPr>
          <w:ilvl w:val="1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Вегетативтік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жүйке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жүйесі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–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ішкі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ағзалардың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қызметін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реттейді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симпатикалық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және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парасимпатикалық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жүйелерге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бөлінеді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.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Симпатикалық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стресстік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жағдайларда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ағзаны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белсендіреді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ал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парасимпатикалық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ағзаны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тыныштандырады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.</w:t>
      </w:r>
    </w:p>
    <w:p w14:paraId="294C6356" w14:textId="77777777" w:rsidR="00AD6AD3" w:rsidRPr="00AD6AD3" w:rsidRDefault="00AD6AD3" w:rsidP="00AD6AD3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Жүйке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жүйесінің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қызметі</w:t>
      </w:r>
      <w:proofErr w:type="spellEnd"/>
    </w:p>
    <w:p w14:paraId="728BB367" w14:textId="77777777" w:rsidR="00AD6AD3" w:rsidRPr="00AD6AD3" w:rsidRDefault="00AD6AD3" w:rsidP="00AD6AD3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Жүйке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жүйесі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мынандай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негізгі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қызметтерді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атқарады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</w:p>
    <w:p w14:paraId="746E7C76" w14:textId="77777777" w:rsidR="00AD6AD3" w:rsidRPr="00AD6AD3" w:rsidRDefault="00AD6AD3" w:rsidP="00AD6AD3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Рефлекстік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қызмет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–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сыртқы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немесе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ішкі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тітіркендіргіштерге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жауап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беру.</w:t>
      </w:r>
    </w:p>
    <w:p w14:paraId="4DA9B96C" w14:textId="77777777" w:rsidR="00AD6AD3" w:rsidRPr="00AD6AD3" w:rsidRDefault="00AD6AD3" w:rsidP="00AD6AD3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Координациялық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қызмет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–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барлық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мүшелер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мен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жүйелердің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үйлесімді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жұмыс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істеуін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қамтамасыз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ету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.</w:t>
      </w:r>
    </w:p>
    <w:p w14:paraId="033B3623" w14:textId="77777777" w:rsidR="00AD6AD3" w:rsidRPr="00AD6AD3" w:rsidRDefault="00AD6AD3" w:rsidP="00AD6AD3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lastRenderedPageBreak/>
        <w:t>Интеграциялық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қызмет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–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ағзаның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ішкі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жүйелерін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біріктіріп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олардың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арасындағы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байланысты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реттеу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.</w:t>
      </w:r>
    </w:p>
    <w:p w14:paraId="11987E49" w14:textId="77777777" w:rsidR="00AD6AD3" w:rsidRPr="00AD6AD3" w:rsidRDefault="00AD6AD3" w:rsidP="00AD6AD3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Сигналдық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қызмет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–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қоршаған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ортадан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ақпарат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қабылдау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және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оған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жауап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беру.</w:t>
      </w:r>
    </w:p>
    <w:p w14:paraId="22317863" w14:textId="77777777" w:rsidR="00AD6AD3" w:rsidRPr="00AD6AD3" w:rsidRDefault="00AD6AD3" w:rsidP="00AD6AD3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Трофикалық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қызмет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–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мүшелер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мен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тіндердің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қоректенуін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реттеу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.</w:t>
      </w:r>
    </w:p>
    <w:p w14:paraId="5EE42B7B" w14:textId="77777777" w:rsidR="00AD6AD3" w:rsidRPr="00AD6AD3" w:rsidRDefault="00AD6AD3" w:rsidP="00AD6AD3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Бейімделу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қызметі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–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сыртқы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ортаның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өзгерістеріне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сәйкес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ағзаның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реакциясын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қамтамасыз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ету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.</w:t>
      </w:r>
    </w:p>
    <w:p w14:paraId="7264EC64" w14:textId="77777777" w:rsidR="00AD6AD3" w:rsidRPr="00AD6AD3" w:rsidRDefault="00AD6AD3" w:rsidP="00AD6AD3">
      <w:pPr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Гомеостазды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сақтау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–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ішкі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ортаның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тұрақтылығын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қамтамасыз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ету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арқылы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ағзаның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тіршілігін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сақтау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.</w:t>
      </w:r>
    </w:p>
    <w:p w14:paraId="24CDA8F3" w14:textId="77777777" w:rsidR="00AD6AD3" w:rsidRPr="00AD6AD3" w:rsidRDefault="00AD6AD3" w:rsidP="00AD6AD3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Нейронның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құрылысы</w:t>
      </w:r>
      <w:proofErr w:type="spellEnd"/>
    </w:p>
    <w:p w14:paraId="00D7260F" w14:textId="77777777" w:rsidR="00AD6AD3" w:rsidRPr="00AD6AD3" w:rsidRDefault="00AD6AD3" w:rsidP="00AD6AD3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Нейрон –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жүйке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жүйесінің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негізгі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құрылымдық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және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қызметтік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бірлігі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. Ол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үш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негізгі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бөлімнен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тұрады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</w:p>
    <w:p w14:paraId="58DBAE44" w14:textId="77777777" w:rsidR="00AD6AD3" w:rsidRPr="00AD6AD3" w:rsidRDefault="00AD6AD3" w:rsidP="00AD6AD3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Денесі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(сома) –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нейронның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негізгі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бөлігі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онда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жасуша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ядросы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орналасқан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.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Бұл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бөлім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зат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алмасу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процестеріне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жауап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береді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.</w:t>
      </w:r>
    </w:p>
    <w:p w14:paraId="7EB955F8" w14:textId="77777777" w:rsidR="00AD6AD3" w:rsidRPr="00AD6AD3" w:rsidRDefault="00AD6AD3" w:rsidP="00AD6AD3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Дендриттер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–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қысқа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тармақталған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өсінділер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олар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арқылы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нейрон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басқа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нейрондардан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сигнал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қабылдайды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.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Дендриттердің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көп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тармақталуы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нейронның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бірден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бірнеше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сигнал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қабылдауына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мүмкіндік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береді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.</w:t>
      </w:r>
    </w:p>
    <w:p w14:paraId="27240CA6" w14:textId="77777777" w:rsidR="00AD6AD3" w:rsidRPr="00AD6AD3" w:rsidRDefault="00AD6AD3" w:rsidP="00AD6AD3">
      <w:pPr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Аксон –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ұзын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өсінді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ол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арқылы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электрлік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импульстер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басқа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нейрондарға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бұлшық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еттерге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немесе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бездерге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беріледі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.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Аксонды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қоршаған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миелин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қабықшасы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жүйке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импульсінің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таралу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жылдамдығын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арттырады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.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Кейбір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нейрондардың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аксоны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бірнеше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метрге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дейін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жетуі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мүмкін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.</w:t>
      </w:r>
    </w:p>
    <w:p w14:paraId="2D05F208" w14:textId="77777777" w:rsidR="00AD6AD3" w:rsidRPr="00AD6AD3" w:rsidRDefault="00AD6AD3" w:rsidP="00AD6AD3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Нейронның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қызметтері</w:t>
      </w:r>
      <w:proofErr w:type="spellEnd"/>
    </w:p>
    <w:p w14:paraId="5822D972" w14:textId="77777777" w:rsidR="00AD6AD3" w:rsidRPr="00AD6AD3" w:rsidRDefault="00AD6AD3" w:rsidP="00AD6AD3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Нейрондар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келесі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негізгі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қызметтерді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орындайды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:</w:t>
      </w:r>
    </w:p>
    <w:p w14:paraId="4BFCE1A0" w14:textId="77777777" w:rsidR="00AD6AD3" w:rsidRPr="00AD6AD3" w:rsidRDefault="00AD6AD3" w:rsidP="00AD6AD3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Қабылдау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–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сыртқы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және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ішкі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сигналдарды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қабылдау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.</w:t>
      </w:r>
    </w:p>
    <w:p w14:paraId="3F689097" w14:textId="77777777" w:rsidR="00AD6AD3" w:rsidRPr="00AD6AD3" w:rsidRDefault="00AD6AD3" w:rsidP="00AD6AD3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Өңдеу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–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ақпаратты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өңдеп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қажетті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реакцияны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қалыптастыру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.</w:t>
      </w:r>
    </w:p>
    <w:p w14:paraId="297FC60D" w14:textId="77777777" w:rsidR="00AD6AD3" w:rsidRPr="00AD6AD3" w:rsidRDefault="00AD6AD3" w:rsidP="00AD6AD3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Тасымалдау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–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жүйке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импульстерін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басқа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нейрондарға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немесе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ағзаның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басқа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бөлімдеріне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жеткізу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.</w:t>
      </w:r>
    </w:p>
    <w:p w14:paraId="25DDA85B" w14:textId="77777777" w:rsidR="00AD6AD3" w:rsidRPr="00AD6AD3" w:rsidRDefault="00AD6AD3" w:rsidP="00AD6AD3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Жауап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беру –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алынған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ақпаратқа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сәйкес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бұлшық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еттерді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немесе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ішкі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секреция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бездерін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белсендіру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.</w:t>
      </w:r>
    </w:p>
    <w:p w14:paraId="43907769" w14:textId="77777777" w:rsidR="00AD6AD3" w:rsidRPr="00AD6AD3" w:rsidRDefault="00AD6AD3" w:rsidP="00AD6AD3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Пластикалық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қасиет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–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нейрондар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жаңа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ақпаратты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меңгеріп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жаңа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байланыстар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түзе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алады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бұл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есте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сақтау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және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оқу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қабілетін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қамтамасыз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етеді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.</w:t>
      </w:r>
    </w:p>
    <w:p w14:paraId="1841D482" w14:textId="77777777" w:rsidR="00AD6AD3" w:rsidRPr="00AD6AD3" w:rsidRDefault="00AD6AD3" w:rsidP="00AD6AD3">
      <w:pPr>
        <w:numPr>
          <w:ilvl w:val="0"/>
          <w:numId w:val="8"/>
        </w:num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lastRenderedPageBreak/>
        <w:t>Электрлік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және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химиялық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сигналдарды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беру –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нейрондар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өзара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электрлік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және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химиялық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жолмен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байланыс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жасап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ақпарат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алмасады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.</w:t>
      </w:r>
    </w:p>
    <w:p w14:paraId="30823F24" w14:textId="77777777" w:rsidR="00AD6AD3" w:rsidRPr="00AD6AD3" w:rsidRDefault="00AD6AD3" w:rsidP="00AD6AD3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Жүйке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жүйесі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мен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нейрондардың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үйлесімді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жұмысы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ағзаның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барлық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процестерін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реттеп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оның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сыртқы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ортаға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бейімделуіне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мүмкіндік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береді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.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Бұл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организмнің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қоршаған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ортаға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жауап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беру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қабілетін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арттырып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тіршілік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ету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үшін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қажетті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барлық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процестердің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тиімді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жүруін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қамтамасыз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етеді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.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Жүйке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жүйесінің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қызметі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бұзылған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жағдайда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әртүрлі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неврологиялық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аурулар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пайда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болуы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мүмкін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сондықтан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оның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қалыпты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жұмысын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сақтау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өте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маңызды</w:t>
      </w:r>
      <w:proofErr w:type="spellEnd"/>
      <w:r w:rsidRPr="00AD6AD3">
        <w:rPr>
          <w:rFonts w:ascii="Times New Roman" w:hAnsi="Times New Roman" w:cs="Times New Roman"/>
          <w:b/>
          <w:bCs/>
          <w:sz w:val="28"/>
          <w:szCs w:val="28"/>
          <w:lang w:val="ru-KZ"/>
        </w:rPr>
        <w:t>.</w:t>
      </w:r>
    </w:p>
    <w:p w14:paraId="364BF4FA" w14:textId="77777777" w:rsidR="0058603C" w:rsidRPr="00AD6AD3" w:rsidRDefault="0058603C">
      <w:pPr>
        <w:rPr>
          <w:rFonts w:ascii="Times New Roman" w:hAnsi="Times New Roman" w:cs="Times New Roman"/>
          <w:sz w:val="28"/>
          <w:szCs w:val="28"/>
          <w:lang w:val="ru-KZ"/>
        </w:rPr>
      </w:pPr>
    </w:p>
    <w:sectPr w:rsidR="0058603C" w:rsidRPr="00AD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D6159"/>
    <w:multiLevelType w:val="multilevel"/>
    <w:tmpl w:val="9B5C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84586B"/>
    <w:multiLevelType w:val="multilevel"/>
    <w:tmpl w:val="6DAE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50A83"/>
    <w:multiLevelType w:val="multilevel"/>
    <w:tmpl w:val="EFC62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326FB"/>
    <w:multiLevelType w:val="multilevel"/>
    <w:tmpl w:val="5BE0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1F738C"/>
    <w:multiLevelType w:val="multilevel"/>
    <w:tmpl w:val="2B7C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096945"/>
    <w:multiLevelType w:val="multilevel"/>
    <w:tmpl w:val="9966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7F299D"/>
    <w:multiLevelType w:val="multilevel"/>
    <w:tmpl w:val="5FD2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8962E7"/>
    <w:multiLevelType w:val="multilevel"/>
    <w:tmpl w:val="1A92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4692">
    <w:abstractNumId w:val="0"/>
  </w:num>
  <w:num w:numId="2" w16cid:durableId="893542631">
    <w:abstractNumId w:val="1"/>
  </w:num>
  <w:num w:numId="3" w16cid:durableId="961613553">
    <w:abstractNumId w:val="4"/>
  </w:num>
  <w:num w:numId="4" w16cid:durableId="1169829231">
    <w:abstractNumId w:val="7"/>
  </w:num>
  <w:num w:numId="5" w16cid:durableId="1157188497">
    <w:abstractNumId w:val="3"/>
  </w:num>
  <w:num w:numId="6" w16cid:durableId="638263926">
    <w:abstractNumId w:val="6"/>
  </w:num>
  <w:num w:numId="7" w16cid:durableId="1384524293">
    <w:abstractNumId w:val="2"/>
  </w:num>
  <w:num w:numId="8" w16cid:durableId="660936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D3"/>
    <w:rsid w:val="004C52D7"/>
    <w:rsid w:val="0058603C"/>
    <w:rsid w:val="00AD6AD3"/>
    <w:rsid w:val="00E4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D3BF"/>
  <w15:chartTrackingRefBased/>
  <w15:docId w15:val="{722D6631-F59D-4746-81C3-1F73499F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6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A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A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A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A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A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6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6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6A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6A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6A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6A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6A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6A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6A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6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A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6A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6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6A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6A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6A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6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6A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D6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Шамалган ОМ 36</dc:creator>
  <cp:keywords/>
  <dc:description/>
  <cp:lastModifiedBy>Шамалган ОМ 36</cp:lastModifiedBy>
  <cp:revision>1</cp:revision>
  <dcterms:created xsi:type="dcterms:W3CDTF">2025-03-26T17:58:00Z</dcterms:created>
  <dcterms:modified xsi:type="dcterms:W3CDTF">2025-03-26T18:02:00Z</dcterms:modified>
</cp:coreProperties>
</file>